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jc w:val="both"/>
        <w:textAlignment w:val="auto"/>
        <w:rPr>
          <w:rFonts w:hint="default" w:ascii="仿宋_GB2312" w:hAnsi="仿宋_GB2312" w:eastAsia="仿宋_GB2312" w:cs="仿宋_GB2312"/>
          <w:i w:val="0"/>
          <w:iCs w:val="0"/>
          <w:caps w:val="0"/>
          <w:color w:val="000000"/>
          <w:spacing w:val="0"/>
          <w:sz w:val="32"/>
          <w:szCs w:val="32"/>
          <w:lang w:val="en-US" w:eastAsia="zh-CN"/>
        </w:rPr>
      </w:pPr>
      <w:r>
        <w:rPr>
          <w:rFonts w:hint="eastAsia" w:ascii="仿宋_GB2312" w:hAnsi="仿宋_GB2312" w:eastAsia="仿宋_GB2312" w:cs="仿宋_GB2312"/>
          <w:i w:val="0"/>
          <w:iCs w:val="0"/>
          <w:caps w:val="0"/>
          <w:color w:val="000000"/>
          <w:spacing w:val="0"/>
          <w:sz w:val="32"/>
          <w:szCs w:val="32"/>
          <w:lang w:val="en-US" w:eastAsia="zh-CN"/>
        </w:rPr>
        <w:t>附件1</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40" w:lineRule="exact"/>
        <w:ind w:right="0"/>
        <w:jc w:val="center"/>
        <w:textAlignment w:val="auto"/>
        <w:rPr>
          <w:rFonts w:hint="eastAsia" w:ascii="方正小标宋简体" w:hAnsi="方正小标宋简体" w:eastAsia="方正小标宋简体" w:cs="方正小标宋简体"/>
          <w:b w:val="0"/>
          <w:bCs w:val="0"/>
          <w:i w:val="0"/>
          <w:iCs w:val="0"/>
          <w:caps w:val="0"/>
          <w:color w:val="000000"/>
          <w:spacing w:val="0"/>
          <w:kern w:val="0"/>
          <w:sz w:val="44"/>
          <w:szCs w:val="44"/>
          <w:lang w:val="en-US" w:eastAsia="zh-CN" w:bidi="ar"/>
        </w:rPr>
      </w:pPr>
      <w:r>
        <w:rPr>
          <w:rFonts w:hint="eastAsia" w:ascii="方正小标宋简体" w:hAnsi="方正小标宋简体" w:eastAsia="方正小标宋简体" w:cs="方正小标宋简体"/>
          <w:b w:val="0"/>
          <w:bCs w:val="0"/>
          <w:i w:val="0"/>
          <w:iCs w:val="0"/>
          <w:caps w:val="0"/>
          <w:color w:val="000000"/>
          <w:spacing w:val="0"/>
          <w:kern w:val="0"/>
          <w:sz w:val="44"/>
          <w:szCs w:val="44"/>
          <w:lang w:val="en-US" w:eastAsia="zh-CN" w:bidi="ar"/>
        </w:rPr>
        <w:t>中共中央办公厅 国务院办公厅印发</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jc w:val="center"/>
        <w:textAlignment w:val="auto"/>
        <w:rPr>
          <w:rFonts w:hint="eastAsia" w:ascii="方正小标宋简体" w:hAnsi="方正小标宋简体" w:eastAsia="方正小标宋简体" w:cs="方正小标宋简体"/>
          <w:i w:val="0"/>
          <w:iCs w:val="0"/>
          <w:caps w:val="0"/>
          <w:color w:val="000000"/>
          <w:spacing w:val="0"/>
          <w:sz w:val="44"/>
          <w:szCs w:val="44"/>
          <w:lang w:val="en-US" w:eastAsia="zh-CN"/>
        </w:rPr>
      </w:pPr>
      <w:r>
        <w:rPr>
          <w:rFonts w:hint="eastAsia" w:ascii="方正小标宋简体" w:hAnsi="方正小标宋简体" w:eastAsia="方正小标宋简体" w:cs="方正小标宋简体"/>
          <w:b w:val="0"/>
          <w:bCs w:val="0"/>
          <w:i w:val="0"/>
          <w:iCs w:val="0"/>
          <w:caps w:val="0"/>
          <w:color w:val="000000"/>
          <w:spacing w:val="0"/>
          <w:kern w:val="0"/>
          <w:sz w:val="44"/>
          <w:szCs w:val="44"/>
          <w:lang w:val="en-US" w:eastAsia="zh-CN" w:bidi="ar"/>
        </w:rPr>
        <w:t>《关于进一步加强财会监督工作的意见》</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仿宋_GB2312" w:hAnsi="仿宋_GB2312" w:eastAsia="仿宋_GB2312" w:cs="仿宋_GB2312"/>
          <w:i w:val="0"/>
          <w:iCs w:val="0"/>
          <w:caps w:val="0"/>
          <w:color w:val="000000"/>
          <w:spacing w:val="0"/>
          <w:sz w:val="32"/>
          <w:szCs w:val="32"/>
          <w:lang w:val="en-US" w:eastAsia="zh-CN"/>
        </w:rPr>
      </w:pPr>
      <w:r>
        <w:rPr>
          <w:rFonts w:hint="eastAsia" w:ascii="仿宋_GB2312" w:hAnsi="仿宋_GB2312" w:eastAsia="仿宋_GB2312" w:cs="仿宋_GB2312"/>
          <w:i w:val="0"/>
          <w:iCs w:val="0"/>
          <w:caps w:val="0"/>
          <w:color w:val="000000"/>
          <w:spacing w:val="0"/>
          <w:sz w:val="32"/>
          <w:szCs w:val="32"/>
          <w:lang w:val="en-US" w:eastAsia="zh-CN"/>
        </w:rPr>
        <w:t>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default" w:ascii="仿宋_GB2312" w:hAnsi="仿宋_GB2312" w:eastAsia="仿宋_GB2312" w:cs="仿宋_GB2312"/>
          <w:i w:val="0"/>
          <w:iCs w:val="0"/>
          <w:caps w:val="0"/>
          <w:color w:val="000000"/>
          <w:spacing w:val="0"/>
          <w:sz w:val="32"/>
          <w:szCs w:val="32"/>
          <w:lang w:val="en-US" w:eastAsia="zh-CN"/>
        </w:rPr>
      </w:pPr>
      <w:r>
        <w:rPr>
          <w:rFonts w:hint="eastAsia" w:ascii="仿宋_GB2312" w:hAnsi="仿宋_GB2312" w:eastAsia="仿宋_GB2312" w:cs="仿宋_GB2312"/>
          <w:i w:val="0"/>
          <w:iCs w:val="0"/>
          <w:caps w:val="0"/>
          <w:color w:val="000000"/>
          <w:spacing w:val="0"/>
          <w:sz w:val="32"/>
          <w:szCs w:val="32"/>
          <w:lang w:val="en-US" w:eastAsia="zh-CN"/>
        </w:rPr>
        <w:t>关于进一步加强财会监督工作的意见全文如下：</w:t>
      </w:r>
      <w:bookmarkStart w:id="0" w:name="_GoBack"/>
      <w:bookmarkEnd w:id="0"/>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lang w:val="en-US" w:eastAsia="zh-CN"/>
        </w:rPr>
        <w:t>财会监督是依法依规对国家机关、企事业单位、其他组织和个人的财政、财务、会计活</w:t>
      </w:r>
      <w:r>
        <w:rPr>
          <w:rFonts w:hint="eastAsia" w:ascii="仿宋_GB2312" w:hAnsi="仿宋_GB2312" w:eastAsia="仿宋_GB2312" w:cs="仿宋_GB2312"/>
          <w:i w:val="0"/>
          <w:iCs w:val="0"/>
          <w:caps w:val="0"/>
          <w:color w:val="000000"/>
          <w:spacing w:val="0"/>
          <w:sz w:val="32"/>
          <w:szCs w:val="32"/>
        </w:rPr>
        <w:t>动实施的监督。近年来，财会监督作为党和国家监督体系的重要组成部分，在推进全面从严治党、维护中央政令畅通、规范财经秩序、促进经济社会健康发展等方面发挥了重要作用，同时也存在监督体系尚待完善、工作机制有待理顺、法治建设亟待健全、监督能力有待提升、一些领域财经纪律亟需整治等问题。为进一步加强财会监督工作，更好发挥财会监督职能作用，现提出如下意见。</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　　</w:t>
      </w:r>
      <w:r>
        <w:rPr>
          <w:rFonts w:hint="eastAsia" w:ascii="黑体" w:hAnsi="黑体" w:eastAsia="黑体" w:cs="黑体"/>
          <w:b w:val="0"/>
          <w:bCs w:val="0"/>
          <w:i w:val="0"/>
          <w:iCs w:val="0"/>
          <w:caps w:val="0"/>
          <w:color w:val="000000"/>
          <w:spacing w:val="0"/>
          <w:sz w:val="32"/>
          <w:szCs w:val="32"/>
        </w:rPr>
        <w:t>一、总体要求</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　　（一）指导思想。以习近平新时代中国特色社会主义思想为指导，深入贯彻党的二十大精神，完整、准确、全面贯彻新发展理念，加快构建新发展格局，着力推动高质量发展，更好统筹发展和安全，坚持以完善党和国家监督体系为出发点，以党内监督为主导，突出政治属性，严肃财经纪律，健全财会监督体系，完善工作机制，提升财会监督效能，促进财会监督与其他各类监督贯通协调，推动健全党统一领导、全面覆盖、权威高效的监督体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　　（二）工作要求</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　　——坚持党的领导，发挥政治优势。坚持加强党的全面领导和党中央集中统一领导，把党的领导落实到财会监督全过程各方面，确保党中央、国务院重大决策部署有效贯彻落实。</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　　——坚持依法监督，强化法治思维。按照全面依法治国要求，健全财经领域法律法规和政策制度，加快补齐法治建设短板，依法依规开展监督，严格执法、严肃问责。</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　　——坚持问题导向，分类精准施策。针对重点领域多发、高发、易发问题和突出矛盾，分类别、分阶段精准施策，强化对公权力运行的制约和监督，建立长效机制，提升监督效能。</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　　——坚持协同联动，加强贯通协调。按照统筹协同、分级负责、上下联动的要求，健全财会监督体系，构建高效衔接、运转有序的工作机制，与其他各类监督有机贯通、相互协调，形成全方位、多层次、立体化的财会监督工作格局。</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　　（三）主要目标。到2025年，构建起财政部门主责监督、有关部门依责监督、各单位内部监督、相关中介机构执业监督、行业协会自律监督的财会监督体系；基本建立起各类监督主体横向协同，中央与地方纵向联动，财会监督与其他各类监督贯通协调的工作机制；财会监督法律制度更加健全，信息化水平明显提高，监督队伍素质不断提升，在规范财政财务管理、提高会计信息质量、维护财经纪律和市场经济秩序等方面发挥重要保障作用。</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仿宋_GB2312" w:hAnsi="仿宋_GB2312" w:eastAsia="仿宋_GB2312" w:cs="仿宋_GB2312"/>
          <w:b/>
          <w:bCs/>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　　</w:t>
      </w:r>
      <w:r>
        <w:rPr>
          <w:rFonts w:hint="eastAsia" w:ascii="黑体" w:hAnsi="黑体" w:eastAsia="黑体" w:cs="黑体"/>
          <w:b w:val="0"/>
          <w:bCs w:val="0"/>
          <w:i w:val="0"/>
          <w:iCs w:val="0"/>
          <w:caps w:val="0"/>
          <w:color w:val="000000"/>
          <w:spacing w:val="0"/>
          <w:sz w:val="32"/>
          <w:szCs w:val="32"/>
        </w:rPr>
        <w:t>二、进一步健全财会监督体系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　　（四）加强党对财会监督工作的领导。各级党委要加强对财会监督工作的领导，保障党中央决策部署落实到位，统筹推动各项工作有序有效开展。各级政府要建立财会监督协调工作机制，明确工作任务、健全机制、完善制度，加强对下级财会监督工作的督促和指导。</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　　（五）依法履行财会监督主责。各级财政部门是本级财会监督的主责部门，牵头组织对财政、财务、会计管理法律法规及规章制度执行情况的监督。加强预算管理监督，推动构建完善综合统筹、规范透明、约束有力、讲求绩效、持续安全的现代预算制度，推进全面实施预算绩效管理。加强对行政事业性国有资产管理规章制度、政府采购制度实施情况的监督，保障国有资产安全完整，规范政府采购行为。加强对财务管理、内部控制的监督，督促指导相关单位规范财务管理，提升内部管理水平。加强对会计行为的监督，提高会计信息质量。加强对注册会计师、资产评估和代理记账行业执业质量的监督，规范行业秩序，促进行业健康发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　　（六）依照法定职责实施部门监督。有关部门要依法依规强化对主管、监管行业系统和单位财会监督工作的督促指导。加强对所属单位预算执行的监督，强化预算约束。按照职责分工加强对政府采购活动、资产评估行业的监督，提高政府采购资金使用效益，推动资产评估行业高质量发展。加强对归口财务管理单位财务活动的指导和监督，严格财务管理。按照会计法赋予的职权对有关单位的会计资料实施监督，规范会计行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　　（七）进一步加强单位内部监督。各单位要加强对本单位经济业务、财务管理、会计行为的日常监督。结合自身实际建立权责清晰、约束有力的内部财会监督机制和内部控制体系，明确内部监督的主体、范围、程序、权责等，落实单位内部财会监督主体责任。各单位主要负责人是本单位财会监督工作第一责任人，对本单位财会工作和财会资料的真实性、完整性负责。单位内部应明确承担财会监督职责的机构或人员，负责本单位经济业务、财会行为和会计资料的日常监督检查。财会人员要加强自我约束，遵守职业道德，拒绝办理或按照职权纠正违反法律法规规定的财会事项，有权检举单位或个人的违法违规行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　　（八）发挥中介机构执业监督作用。会计师事务所、资产评估机构、税务师事务所、代理记账机构等中介机构要严格依法履行审计鉴证、资产评估、税收服务、会计服务等职责，确保独立、客观、公正、规范执业。切实加强对执业质量的把控，完善内部控制制度，建立内部风险防控机制，加强风险分类防控，提升内部管理水平，规范承揽和开展业务，建立健全事前评估、事中跟踪、事后评价管理体系，强化质量管理责任。持续提升中介机构一体化管理水平，实现人员调配、财务安排、业务承接、技术标准、信息化建设的实质性一体化管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　　（九）强化行业协会自律监督作用。注册会计师协会、资产评估协会、注册税务师协会、银行业协会、证券业协会等要充分发挥督促引导作用，促进持续提升财会信息质量和内部控制有效性。加强行业诚信建设，健全行业诚信档案，把诚信建设要求贯穿行业管理和服务工作各环节。进一步加强行业自律监管，运用信用记录、警示告诫、公开曝光等措施加大惩戒力度，完善对投诉举报、媒体质疑等的处理机制，推动提升财会业务规范化水平。</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　　</w:t>
      </w:r>
      <w:r>
        <w:rPr>
          <w:rFonts w:hint="eastAsia" w:ascii="黑体" w:hAnsi="黑体" w:eastAsia="黑体" w:cs="黑体"/>
          <w:i w:val="0"/>
          <w:iCs w:val="0"/>
          <w:caps w:val="0"/>
          <w:color w:val="000000"/>
          <w:spacing w:val="0"/>
          <w:sz w:val="32"/>
          <w:szCs w:val="32"/>
        </w:rPr>
        <w:t>三、完善财会监督工作机制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　　（十）加强财会监督主体横向协同。构建财政部门、有关部门、各单位、中介机构、行业协会等监督主体横向协同工作机制。各级财政部门牵头负责本级政府财会监督协调工作机制日常工作，加强沟通协调，抓好统筹谋划和督促指导；税务、人民银行、国有资产监管、银行保险监管、证券监管等部门积极配合、密切协同。建立健全部门间财会监督政策衔接、重大问题处理、综合执法检查、监督结果运用、监督线索移送、监督信息交流等工作机制，形成监督合力，提升监督效能。建立部门与行业协会联合监管机制，推动行政监管与自律监管有机结合。相关中介机构要严格按照法律法规、准则制度进行执业，并在配合财会监督执法中提供专业意见。中介机构及其从业人员对发现的违法违规行为，应及时向主管部门、监管部门和行业协会报告。各单位应配合依法依规实施财会监督，不得拒绝、阻挠、拖延，不得提供虚假或者有重大遗漏的财会资料及信息。</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　　（十一）强化中央与地方纵向联动。压实各有关方面财会监督责任，加强上下联动。国务院财政部门加强财会监督工作的制度建设和统筹协调，牵头组织制定财会监督工作规划，明确年度监督工作重点，指导推动各地区各部门各单位组织实施。县级以上地方政府和有关部门依法依规组织开展本行政区域内财会监督工作。国务院有关部门派出机构依照法律法规规定和上级部门授权实施监督工作。地方各级政府和有关部门要畅通财会监督信息渠道，建立财会监督重大事项报告机制，及时向上一级政府和有关部门反映财会监督中发现的重大问题。</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　　（十二）推动财会监督与其他各类监督贯通协调。建立健全信息沟通、线索移送、协同监督、成果共享等工作机制。开展财会监督要自觉以党内监督为主导，探索深化贯通协调有效路径，加强与巡视巡察机构协作，建立重点监督协同、重大事项会商、线索移交移送机制，通报财会监督检查情况，研究办理巡视巡察移交的建议；加强与纪检监察机关的贯通协调，完善财会监督与纪检监察监督在贯彻落实中央八项规定精神、纠治“四风”、整治群众身边腐败和不正之风等方面要求贯通协调机制，加强监督成果共享，发现党员、监察对象涉嫌违纪或职务违法、职务犯罪的问题线索，依法依规及时移送纪检监察机关；发挥财会监督专业力量作用，选派财会业务骨干参加巡视巡察、纪委监委监督检查和审查调查。强化与人大监督、民主监督的配合协同，完善与人大监督在提高预算管理规范性、有效性等方面贯通协调机制。增强与行政监督、司法监督、审计监督、统计监督的协同性和联动性，加强信息共享，推动建立健全长效机制，形成监督合力。畅通群众监督、舆论监督渠道，健全财会监督投诉举报受理机制，完善受理、查处、跟踪、整改等制度。</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黑体" w:hAnsi="黑体" w:eastAsia="黑体" w:cs="黑体"/>
          <w:i w:val="0"/>
          <w:iCs w:val="0"/>
          <w:caps w:val="0"/>
          <w:color w:val="000000"/>
          <w:spacing w:val="0"/>
          <w:sz w:val="32"/>
          <w:szCs w:val="32"/>
        </w:rPr>
      </w:pPr>
      <w:r>
        <w:rPr>
          <w:rFonts w:hint="eastAsia" w:ascii="黑体" w:hAnsi="黑体" w:eastAsia="黑体" w:cs="黑体"/>
          <w:i w:val="0"/>
          <w:iCs w:val="0"/>
          <w:caps w:val="0"/>
          <w:color w:val="000000"/>
          <w:spacing w:val="0"/>
          <w:sz w:val="32"/>
          <w:szCs w:val="32"/>
        </w:rPr>
        <w:t>　　四、加大重点领域财会监督力度</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　　（十三）保障党中央、国务院重大决策部署贯彻落实。把推动党中央、国务院重大决策部署贯彻落实作为财会监督工作的首要任务。聚焦深化供给侧结构性改革，做好稳增长、稳就业、稳物价工作，保障和改善民生，防止资本无序扩张，落实财政改革举措等重大部署，综合运用检查核查、评估评价、监测监控、调查研究等方式开展财会监督，严肃查处财经领域违反中央宏观决策和治理调控要求、影响经济社会健康稳定发展的违纪违规行为，确保党中央政令畅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　　（十四）强化财经纪律刚性约束。加强对财经领域公权力行使的制约和监督，严肃财经纪律。聚焦贯彻落实减税降费、党政机关过紧日子、加强基层保基本民生保工资保运转工作、规范国库管理、加强资产管理、防范债务风险等重点任务，严肃查处财政收入不真实不合规、违规兴建楼堂馆所、乱设财政专户、违规处置资产、违规新增地方政府隐性债务等突出问题，强化通报问责和处理处罚，使纪律真正成为带电的“高压线”。</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　　（十五）严厉打击财务会计违法违规行为。坚持“强穿透、堵漏洞、用重典、正风气”，从严从重查处影响恶劣的财务舞弊、会计造假案件，强化对相关责任人的追责问责。加强对国有企业、上市公司、金融企业等的财务、会计行为的监督，严肃查处财务数据造假、出具“阴阳报告”、内部监督失效等突出问题。加强对会计信息质量的监督，依法严厉打击伪造会计账簿、虚构经济业务、滥用会计准则等会计违法违规行为，持续提升会计信息质量。加强对会计师事务所、资产评估机构、代理记账机构等中介机构执业质量监督，聚焦行业突出问题，加大对无证经营、挂名执业、违规提供报告、超出胜任能力执业等违法违规行为的整治力度，强化行业日常监管和信用管理，坚决清除害群之马。</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　　</w:t>
      </w:r>
      <w:r>
        <w:rPr>
          <w:rFonts w:hint="eastAsia" w:ascii="黑体" w:hAnsi="黑体" w:eastAsia="黑体" w:cs="黑体"/>
          <w:i w:val="0"/>
          <w:iCs w:val="0"/>
          <w:caps w:val="0"/>
          <w:color w:val="000000"/>
          <w:spacing w:val="0"/>
          <w:sz w:val="32"/>
          <w:szCs w:val="32"/>
        </w:rPr>
        <w:t>五、保障措施</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　　（十六）加强组织领导。各地区各有关部门要强化组织领导，加强协同配合，结合实际制定具体实施方案，确保各项工作任务落地见效。将财会监督工作推进情况作为领导班子和有关领导干部考核的重要内容；对于贯彻落实财会监督决策部署不力、职责履行不到位的，要严肃追责问责。</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　　（十七）推进财会监督法治建设。健全财会监督法律法规制度，及时推动修订预算法、会计法、注册会计师法、资产评估法、财政违法行为处罚处分条例等法律法规。健全财政财务管理、资产管理等制度，完善内部控制制度体系。深化政府会计改革，完善企业会计准则体系和非营利组织会计制度，增强会计准则制度执行效果。</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　　（十八）加强财会监督队伍建设。县级以上财政部门应强化财会监督队伍和能力建设。各单位应配备与财会监督职能任务相匹配的人员力量，完善财会监督人才政策体系，加强财会监督人才培训教育，分类型、分领域建立高层次财会监督人才库，提升专业能力和综合素质。按照国家有关规定完善财会监督人才激励约束机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　　（十九）统筹推进财会监督信息化建设。深化“互联网+监督”，充分运用大数据和信息化手段，切实提升监管效能。依托全国一体化在线政务服务平台，统筹整合各地区各部门各单位有关公共数据资源，分级分类完善财会监督数据库，推进财会监督数据汇聚融合和共享共用。构建财会领域重大风险识别预警机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　　（二十）提升财会监督工作成效。优化监督模式与方式方法，推动日常监督与专项监督、现场监督与非现场监督、线上监督与线下监督、事前事中事后监督相结合，实现监督和管理有机统一。加大对违法违规行为的处理处罚力度，大幅提高违法违规成本，推动实施联合惩戒，依法依规开展追责问责。加强财会监督结果运用，完善监督结果公告公示制度，对违反财经纪律的单位和人员，加大公开曝光力度，属于党员和公职人员的，及时向所在党组织、所在单位通报，发挥警示教育作用。</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　　（二十一）加强宣传引导。加强财会监督法律法规政策宣传贯彻，强化财会从业人员执业操守教育。在依法合规、安全保密等前提下，大力推进财会信息公开工作，提高财会信息透明度。鼓励先行先试，强化引领示范，统筹抓好财会监督试点工作。加强宣传解读和舆论引导，积极回应社会关切，充分调动各方面积极性，营造财会监督工作良好环境。</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FhM2NjMWRmNzZjYmZhNjI1NWMxYWMxYmJmYTc4N2YifQ=="/>
  </w:docVars>
  <w:rsids>
    <w:rsidRoot w:val="00000000"/>
    <w:rsid w:val="42A30630"/>
    <w:rsid w:val="6D280C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5005</Words>
  <Characters>5008</Characters>
  <Lines>0</Lines>
  <Paragraphs>0</Paragraphs>
  <TotalTime>1</TotalTime>
  <ScaleCrop>false</ScaleCrop>
  <LinksUpToDate>false</LinksUpToDate>
  <CharactersWithSpaces>5070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2023-02-22T09:08:00Z</dcterms:created>
  <dc:creator>33590</dc:creator>
  <cp:lastModifiedBy>無信仰</cp:lastModifiedBy>
  <dcterms:modified xsi:type="dcterms:W3CDTF">2023-02-22T09:11:08Z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C9A3BAB839D1461291F03CAC5D78BFED</vt:lpwstr>
  </property>
</Properties>
</file>